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51"/>
        <w:tblW w:w="10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0404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5313"/>
      </w:tblGrid>
      <w:tr w:rsidR="00772A2F" w:rsidRPr="00772A2F" w14:paraId="79ADF56B" w14:textId="77777777" w:rsidTr="00F97CED">
        <w:trPr>
          <w:trHeight w:val="418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DBFC32" w14:textId="77777777" w:rsidR="00772A2F" w:rsidRPr="00772A2F" w:rsidRDefault="00772A2F" w:rsidP="00F97CED">
            <w:pPr>
              <w:spacing w:after="0" w:line="240" w:lineRule="auto"/>
              <w:jc w:val="center"/>
              <w:textAlignment w:val="baseline"/>
              <w:rPr>
                <w:rFonts w:ascii="Avenir Next LT Pro" w:eastAsia="Times New Roman" w:hAnsi="Avenir Next LT Pro" w:cs="Segoe UI"/>
                <w:b/>
                <w:bCs/>
                <w:i/>
                <w:iCs/>
                <w:color w:val="A8D08D" w:themeColor="accent6" w:themeTint="99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Inclusion criteria</w:t>
            </w:r>
            <w:r w:rsidRPr="00772A2F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66CC06" w14:textId="77777777" w:rsidR="00772A2F" w:rsidRPr="00772A2F" w:rsidRDefault="00772A2F" w:rsidP="00F97CED">
            <w:pPr>
              <w:spacing w:after="0" w:line="240" w:lineRule="auto"/>
              <w:jc w:val="center"/>
              <w:textAlignment w:val="baseline"/>
              <w:rPr>
                <w:rFonts w:ascii="Avenir Next LT Pro" w:eastAsia="Times New Roman" w:hAnsi="Avenir Next LT Pro" w:cs="Segoe UI"/>
                <w:b/>
                <w:bCs/>
                <w:i/>
                <w:iCs/>
                <w:color w:val="A8D08D" w:themeColor="accent6" w:themeTint="99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venir Next LT Pro" w:eastAsia="Times New Roman" w:hAnsi="Avenir Next LT Pro" w:cs="Calibri"/>
                <w:b/>
                <w:bCs/>
                <w:i/>
                <w:iCs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Exclusion criteria</w:t>
            </w:r>
            <w:r w:rsidRPr="00772A2F">
              <w:rPr>
                <w:rFonts w:ascii="Arial" w:eastAsia="Times New Roman" w:hAnsi="Arial" w:cs="Arial"/>
                <w:b/>
                <w:bCs/>
                <w:i/>
                <w:iCs/>
                <w:color w:val="A8D08D" w:themeColor="accent6" w:themeTint="99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</w:tc>
      </w:tr>
      <w:tr w:rsidR="00772A2F" w:rsidRPr="00772A2F" w14:paraId="38320117" w14:textId="77777777" w:rsidTr="00F97CED">
        <w:trPr>
          <w:trHeight w:val="1780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84F54" w14:textId="08FDF6C4" w:rsidR="00F97CED" w:rsidRPr="00F97CED" w:rsidRDefault="00F97CED" w:rsidP="00F97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Pre-Diabetes</w:t>
            </w:r>
            <w:r w:rsidR="007104D7"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 xml:space="preserve"> (</w:t>
            </w:r>
            <w:r w:rsidR="001F12CC"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Group consults)</w:t>
            </w:r>
          </w:p>
          <w:p w14:paraId="6D79B8DF" w14:textId="77777777" w:rsidR="004A0616" w:rsidRPr="004A0616" w:rsidRDefault="00772A2F" w:rsidP="00F97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Complex Diabetes</w:t>
            </w:r>
            <w:r w:rsid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: </w:t>
            </w:r>
          </w:p>
          <w:p w14:paraId="7CA6844E" w14:textId="3852428D" w:rsidR="00772A2F" w:rsidRPr="00F97CED" w:rsidRDefault="00772A2F" w:rsidP="004A0616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T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ype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2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DM – on oral medication</w:t>
            </w:r>
            <w:r w:rsidR="008063B1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 </w:t>
            </w:r>
            <w:r w:rsidR="00010EEA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and/or insuli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n or GLP-1. </w:t>
            </w:r>
            <w:r w:rsidR="007104D7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HbA</w:t>
            </w:r>
            <w:r w:rsidR="00573370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1</w:t>
            </w:r>
            <w:r w:rsidR="007104D7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c above 75</w:t>
            </w:r>
            <w:r w:rsidR="001F6948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. </w:t>
            </w:r>
            <w:r w:rsidR="007104D7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 </w:t>
            </w:r>
          </w:p>
          <w:p w14:paraId="09D2A752" w14:textId="3D7D3755" w:rsidR="00F97CED" w:rsidRPr="00F97CED" w:rsidRDefault="00772A2F" w:rsidP="00F97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Post-gestational diabetes </w:t>
            </w:r>
          </w:p>
          <w:p w14:paraId="015E14A0" w14:textId="77777777" w:rsidR="00F97CED" w:rsidRPr="00F97CED" w:rsidRDefault="00F97CED" w:rsidP="00F97CED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401521F" w14:textId="650BAD16" w:rsidR="00772A2F" w:rsidRPr="00772A2F" w:rsidRDefault="00772A2F" w:rsidP="00F97CED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98FCE" w14:textId="2665D5AE" w:rsidR="00772A2F" w:rsidRPr="004A0616" w:rsidRDefault="00772A2F" w:rsidP="00F97C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Diabetes T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ype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1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DM </w:t>
            </w:r>
          </w:p>
          <w:p w14:paraId="29A81CD4" w14:textId="77777777" w:rsidR="004A0616" w:rsidRPr="004A0616" w:rsidRDefault="004A0616" w:rsidP="00F97C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4A0616"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Type 2</w:t>
            </w:r>
            <w:r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 xml:space="preserve"> </w:t>
            </w:r>
            <w:r w:rsidRPr="004A0616"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DM under secondary care</w:t>
            </w:r>
          </w:p>
          <w:p w14:paraId="789DC40A" w14:textId="77777777" w:rsidR="004A0616" w:rsidRPr="00F97CED" w:rsidRDefault="004A0616" w:rsidP="004A0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Bariatric (if under secondary care) </w:t>
            </w:r>
            <w:r w:rsidRPr="00F97CED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  <w:p w14:paraId="5776A500" w14:textId="77777777" w:rsidR="004A0616" w:rsidRPr="004A0616" w:rsidRDefault="004A0616" w:rsidP="004A0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Weight management </w:t>
            </w:r>
            <w:r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(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see</w:t>
            </w:r>
            <w:r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n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 </w:t>
            </w:r>
            <w:r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H &amp;W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coach</w:t>
            </w:r>
            <w:r w:rsidRPr="00F97CED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)</w:t>
            </w:r>
          </w:p>
          <w:p w14:paraId="21B858C3" w14:textId="7DA4C418" w:rsidR="004A0616" w:rsidRPr="00F97CED" w:rsidRDefault="004A0616" w:rsidP="004A061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4A0616">
              <w:rPr>
                <w:rFonts w:ascii="Avenir Next LT Pro" w:eastAsia="Times New Roman" w:hAnsi="Avenir Next LT Pro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Lipid lowering</w:t>
            </w:r>
            <w:r>
              <w:rPr>
                <w:rFonts w:ascii="Avenir Next LT Pro" w:eastAsia="Times New Roman" w:hAnsi="Avenir Next LT Pro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 xml:space="preserve"> (seen by H&amp;W coach</w:t>
            </w:r>
          </w:p>
        </w:tc>
      </w:tr>
      <w:tr w:rsidR="00772A2F" w:rsidRPr="00772A2F" w14:paraId="22B2F5E4" w14:textId="77777777" w:rsidTr="00F97CED">
        <w:trPr>
          <w:trHeight w:val="535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C86F57" w14:textId="77777777" w:rsidR="00F97CED" w:rsidRPr="00F97CED" w:rsidRDefault="00772A2F" w:rsidP="00F97C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Malnutrition-Frailty </w:t>
            </w:r>
          </w:p>
          <w:p w14:paraId="60F7A8B6" w14:textId="6342B28B" w:rsidR="00772A2F" w:rsidRPr="00772A2F" w:rsidRDefault="00F97CED" w:rsidP="00F97CED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(MUST of 1)</w:t>
            </w:r>
          </w:p>
          <w:p w14:paraId="18103ED0" w14:textId="20FCD09F" w:rsidR="00772A2F" w:rsidRPr="00772A2F" w:rsidRDefault="00772A2F" w:rsidP="00F97CED">
            <w:pPr>
              <w:pStyle w:val="ListParagraph"/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66C3B" w14:textId="360B8680" w:rsidR="00772A2F" w:rsidRPr="00F97CED" w:rsidRDefault="00772A2F" w:rsidP="00F97C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Frailty </w:t>
            </w:r>
            <w:r w:rsid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(if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under </w:t>
            </w:r>
            <w:r w:rsid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s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econdary care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, MUST &gt;2</w:t>
            </w:r>
            <w:r w:rsid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)</w:t>
            </w:r>
          </w:p>
        </w:tc>
      </w:tr>
      <w:tr w:rsidR="00772A2F" w:rsidRPr="00772A2F" w14:paraId="47DFEE48" w14:textId="77777777" w:rsidTr="00F97CED">
        <w:trPr>
          <w:trHeight w:val="535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508E4" w14:textId="38C31E40" w:rsidR="00772A2F" w:rsidRPr="004A0616" w:rsidRDefault="00772A2F" w:rsidP="004A0616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C591843" w14:textId="6CF2F61B" w:rsidR="00772A2F" w:rsidRPr="00772A2F" w:rsidRDefault="00772A2F" w:rsidP="00F97CED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4954A" w14:textId="25F707CC" w:rsidR="00772A2F" w:rsidRPr="00F97CED" w:rsidRDefault="00772A2F" w:rsidP="00F97C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IBD, </w:t>
            </w:r>
            <w:r w:rsidR="008063B1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IBS, 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Allergies</w:t>
            </w:r>
            <w:r w:rsidR="004A0616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, Eating disorders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 (adult &amp; paediatric)</w:t>
            </w:r>
            <w:r w:rsidRPr="00F97CED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</w:tc>
      </w:tr>
      <w:tr w:rsidR="00772A2F" w:rsidRPr="00772A2F" w14:paraId="76E6C9FE" w14:textId="77777777" w:rsidTr="00F97CED">
        <w:trPr>
          <w:trHeight w:val="876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565D8" w14:textId="3CF221C2" w:rsidR="00772A2F" w:rsidRPr="00772A2F" w:rsidRDefault="00772A2F" w:rsidP="00F97CED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772A2F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E0EC4D" w14:textId="56C7B38A" w:rsidR="00772A2F" w:rsidRPr="00F97CED" w:rsidRDefault="00772A2F" w:rsidP="00F97C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Paediatrics  &lt; 18y</w:t>
            </w:r>
            <w:r w:rsidR="008063B1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ea</w:t>
            </w: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rs </w:t>
            </w:r>
            <w:r w:rsidRPr="00F97CED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  <w:p w14:paraId="21D64833" w14:textId="77777777" w:rsidR="00772A2F" w:rsidRPr="00F97CED" w:rsidRDefault="00772A2F" w:rsidP="00F97C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>Acutely unwell</w:t>
            </w:r>
            <w:r w:rsidRPr="00F97CED">
              <w:rPr>
                <w:rFonts w:ascii="Arial" w:eastAsia="Times New Roman" w:hAnsi="Arial" w:cs="Arial"/>
                <w:color w:val="000000" w:themeColor="text1"/>
                <w:kern w:val="0"/>
                <w:sz w:val="36"/>
                <w:szCs w:val="36"/>
                <w:lang w:val="en-US" w:eastAsia="en-GB"/>
                <w14:ligatures w14:val="none"/>
              </w:rPr>
              <w:t>​</w:t>
            </w:r>
          </w:p>
          <w:p w14:paraId="349C9AAE" w14:textId="7AFA45E4" w:rsidR="00772A2F" w:rsidRPr="00F97CED" w:rsidRDefault="00772A2F" w:rsidP="00F97CE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F97CED">
              <w:rPr>
                <w:rFonts w:ascii="Avenir Next LT Pro" w:eastAsia="Times New Roman" w:hAnsi="Avenir Next LT Pro" w:cs="Calibri"/>
                <w:color w:val="000000" w:themeColor="text1"/>
                <w:kern w:val="0"/>
                <w:position w:val="1"/>
                <w:sz w:val="36"/>
                <w:szCs w:val="36"/>
                <w:lang w:val="en-ZA" w:eastAsia="en-GB"/>
                <w14:ligatures w14:val="none"/>
              </w:rPr>
              <w:t xml:space="preserve">Housebound patients </w:t>
            </w:r>
          </w:p>
        </w:tc>
      </w:tr>
    </w:tbl>
    <w:p w14:paraId="61039F2D" w14:textId="38F07BB5" w:rsidR="00772A2F" w:rsidRPr="00F97CED" w:rsidRDefault="00F97CED" w:rsidP="00F97CED">
      <w:pPr>
        <w:jc w:val="center"/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  <w:r w:rsidRPr="00F97CED">
        <w:rPr>
          <w:rFonts w:ascii="Avenir Next LT Pro" w:hAnsi="Avenir Next LT Pro"/>
          <w:b/>
          <w:bCs/>
          <w:color w:val="000000" w:themeColor="text1"/>
          <w:sz w:val="28"/>
          <w:szCs w:val="28"/>
        </w:rPr>
        <w:t>Mayuri Baichan</w:t>
      </w:r>
    </w:p>
    <w:p w14:paraId="6C895D87" w14:textId="43C7EF00" w:rsidR="00F97CED" w:rsidRPr="00F97CED" w:rsidRDefault="00F97CED" w:rsidP="00F97CED">
      <w:pPr>
        <w:jc w:val="center"/>
        <w:rPr>
          <w:rFonts w:ascii="Avenir Next LT Pro" w:hAnsi="Avenir Next LT Pro"/>
          <w:b/>
          <w:bCs/>
          <w:color w:val="000000" w:themeColor="text1"/>
          <w:sz w:val="28"/>
          <w:szCs w:val="28"/>
        </w:rPr>
      </w:pPr>
      <w:r w:rsidRPr="00F97CED">
        <w:rPr>
          <w:rFonts w:ascii="Avenir Next LT Pro" w:hAnsi="Avenir Next LT Pro"/>
          <w:b/>
          <w:bCs/>
          <w:color w:val="000000" w:themeColor="text1"/>
          <w:sz w:val="28"/>
          <w:szCs w:val="28"/>
        </w:rPr>
        <w:t>Maidenhead PCN Dietitian</w:t>
      </w:r>
    </w:p>
    <w:p w14:paraId="06170B2E" w14:textId="77777777" w:rsidR="008063B1" w:rsidRDefault="00F97CED" w:rsidP="008063B1">
      <w:pPr>
        <w:jc w:val="center"/>
      </w:pPr>
      <w:r w:rsidRPr="00F97CED">
        <w:rPr>
          <w:rFonts w:ascii="Avenir Next LT Pro" w:hAnsi="Avenir Next LT Pro"/>
          <w:b/>
          <w:bCs/>
          <w:color w:val="000000" w:themeColor="text1"/>
          <w:sz w:val="28"/>
          <w:szCs w:val="28"/>
        </w:rPr>
        <w:t>Referral criteria</w:t>
      </w:r>
    </w:p>
    <w:p w14:paraId="4D80F52D" w14:textId="73D166E8" w:rsidR="008063B1" w:rsidRDefault="008063B1" w:rsidP="008063B1">
      <w:pPr>
        <w:jc w:val="center"/>
      </w:pPr>
    </w:p>
    <w:tbl>
      <w:tblPr>
        <w:tblStyle w:val="TableGrid"/>
        <w:tblW w:w="10902" w:type="dxa"/>
        <w:tblInd w:w="-851" w:type="dxa"/>
        <w:tblLook w:val="04A0" w:firstRow="1" w:lastRow="0" w:firstColumn="1" w:lastColumn="0" w:noHBand="0" w:noVBand="1"/>
      </w:tblPr>
      <w:tblGrid>
        <w:gridCol w:w="3681"/>
        <w:gridCol w:w="7221"/>
      </w:tblGrid>
      <w:tr w:rsidR="004A0616" w14:paraId="76823FE2" w14:textId="77777777" w:rsidTr="00B03F8C">
        <w:trPr>
          <w:trHeight w:val="620"/>
        </w:trPr>
        <w:tc>
          <w:tcPr>
            <w:tcW w:w="3681" w:type="dxa"/>
          </w:tcPr>
          <w:p w14:paraId="79B68915" w14:textId="1EFD416A" w:rsidR="004A0616" w:rsidRPr="00B03F8C" w:rsidRDefault="004A0616" w:rsidP="008063B1">
            <w:pPr>
              <w:rPr>
                <w:rFonts w:ascii="Avenir Next LT Pro" w:hAnsi="Avenir Next LT Pro"/>
                <w:sz w:val="36"/>
                <w:szCs w:val="36"/>
              </w:rPr>
            </w:pPr>
            <w:r w:rsidRPr="00B03F8C">
              <w:rPr>
                <w:rFonts w:ascii="Avenir Next LT Pro" w:hAnsi="Avenir Next LT Pro"/>
                <w:sz w:val="36"/>
                <w:szCs w:val="36"/>
              </w:rPr>
              <w:t>Other areas of work</w:t>
            </w:r>
          </w:p>
        </w:tc>
        <w:tc>
          <w:tcPr>
            <w:tcW w:w="7221" w:type="dxa"/>
          </w:tcPr>
          <w:p w14:paraId="6AB5E1FD" w14:textId="31503D6D" w:rsidR="004A0616" w:rsidRPr="00B03F8C" w:rsidRDefault="004A0616" w:rsidP="008063B1">
            <w:pPr>
              <w:rPr>
                <w:rFonts w:ascii="Avenir Next LT Pro" w:hAnsi="Avenir Next LT Pro"/>
                <w:sz w:val="36"/>
                <w:szCs w:val="36"/>
              </w:rPr>
            </w:pPr>
            <w:r w:rsidRPr="00B03F8C">
              <w:rPr>
                <w:rFonts w:ascii="Avenir Next LT Pro" w:hAnsi="Avenir Next LT Pro"/>
                <w:sz w:val="36"/>
                <w:szCs w:val="36"/>
              </w:rPr>
              <w:t>Care homes within the PCN</w:t>
            </w:r>
            <w:r w:rsidR="00B03F8C">
              <w:rPr>
                <w:rFonts w:ascii="Avenir Next LT Pro" w:hAnsi="Avenir Next LT Pro"/>
                <w:sz w:val="36"/>
                <w:szCs w:val="36"/>
              </w:rPr>
              <w:t xml:space="preserve"> – 1 day per week</w:t>
            </w:r>
          </w:p>
        </w:tc>
      </w:tr>
      <w:tr w:rsidR="004A0616" w14:paraId="1E2C017E" w14:textId="77777777" w:rsidTr="00B03F8C">
        <w:trPr>
          <w:trHeight w:val="305"/>
        </w:trPr>
        <w:tc>
          <w:tcPr>
            <w:tcW w:w="3681" w:type="dxa"/>
          </w:tcPr>
          <w:p w14:paraId="7DD9ABB9" w14:textId="77777777" w:rsidR="004A0616" w:rsidRPr="00B03F8C" w:rsidRDefault="004A0616" w:rsidP="008063B1">
            <w:pPr>
              <w:rPr>
                <w:rFonts w:ascii="Avenir Next LT Pro" w:hAnsi="Avenir Next LT Pro"/>
                <w:sz w:val="36"/>
                <w:szCs w:val="36"/>
              </w:rPr>
            </w:pPr>
          </w:p>
        </w:tc>
        <w:tc>
          <w:tcPr>
            <w:tcW w:w="7221" w:type="dxa"/>
          </w:tcPr>
          <w:p w14:paraId="229DC455" w14:textId="07752C6C" w:rsidR="004A0616" w:rsidRPr="00B03F8C" w:rsidRDefault="004A0616" w:rsidP="008063B1">
            <w:pPr>
              <w:rPr>
                <w:rFonts w:ascii="Avenir Next LT Pro" w:hAnsi="Avenir Next LT Pro"/>
                <w:sz w:val="36"/>
                <w:szCs w:val="36"/>
              </w:rPr>
            </w:pPr>
            <w:r w:rsidRPr="00B03F8C">
              <w:rPr>
                <w:rFonts w:ascii="Avenir Next LT Pro" w:hAnsi="Avenir Next LT Pro"/>
                <w:sz w:val="36"/>
                <w:szCs w:val="36"/>
              </w:rPr>
              <w:t xml:space="preserve">Social cooking project </w:t>
            </w:r>
            <w:r w:rsidR="00B03F8C">
              <w:rPr>
                <w:rFonts w:ascii="Avenir Next LT Pro" w:hAnsi="Avenir Next LT Pro"/>
                <w:sz w:val="36"/>
                <w:szCs w:val="36"/>
              </w:rPr>
              <w:t>– 1 day per week</w:t>
            </w:r>
          </w:p>
        </w:tc>
      </w:tr>
    </w:tbl>
    <w:p w14:paraId="7E45FD83" w14:textId="22D67823" w:rsidR="008063B1" w:rsidRPr="001F6948" w:rsidRDefault="008063B1" w:rsidP="001F6948">
      <w:pPr>
        <w:ind w:left="-426"/>
        <w:rPr>
          <w:rFonts w:ascii="Avenir Next LT Pro" w:hAnsi="Avenir Next LT Pro"/>
          <w:b/>
          <w:bCs/>
          <w:sz w:val="24"/>
          <w:szCs w:val="24"/>
        </w:rPr>
      </w:pPr>
      <w:r w:rsidRPr="001F6948">
        <w:rPr>
          <w:rFonts w:ascii="Avenir Next LT Pro" w:hAnsi="Avenir Next LT Pro"/>
          <w:b/>
          <w:bCs/>
          <w:sz w:val="24"/>
          <w:szCs w:val="24"/>
        </w:rPr>
        <w:t>How to refer:</w:t>
      </w:r>
    </w:p>
    <w:p w14:paraId="4687D948" w14:textId="04DD3032" w:rsidR="008063B1" w:rsidRDefault="008063B1" w:rsidP="008063B1">
      <w:pPr>
        <w:pStyle w:val="ListParagraph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Book into my clinic </w:t>
      </w:r>
      <w:r w:rsidR="00573370">
        <w:rPr>
          <w:rFonts w:ascii="Avenir Next LT Pro" w:hAnsi="Avenir Next LT Pro"/>
          <w:sz w:val="24"/>
          <w:szCs w:val="24"/>
        </w:rPr>
        <w:t xml:space="preserve">if patient meets the inclusion </w:t>
      </w:r>
      <w:proofErr w:type="gramStart"/>
      <w:r w:rsidR="00573370">
        <w:rPr>
          <w:rFonts w:ascii="Avenir Next LT Pro" w:hAnsi="Avenir Next LT Pro"/>
          <w:sz w:val="24"/>
          <w:szCs w:val="24"/>
        </w:rPr>
        <w:t>criteria</w:t>
      </w:r>
      <w:proofErr w:type="gramEnd"/>
    </w:p>
    <w:p w14:paraId="6C8A14DC" w14:textId="175F9040" w:rsidR="001F6948" w:rsidRDefault="00573370" w:rsidP="001F6948">
      <w:pPr>
        <w:pStyle w:val="ListParagraph"/>
        <w:numPr>
          <w:ilvl w:val="0"/>
          <w:numId w:val="7"/>
        </w:numPr>
        <w:rPr>
          <w:rFonts w:ascii="Avenir Next LT Pro" w:hAnsi="Avenir Next LT Pro"/>
          <w:sz w:val="24"/>
          <w:szCs w:val="24"/>
        </w:rPr>
      </w:pPr>
      <w:r w:rsidRPr="00573370">
        <w:rPr>
          <w:rFonts w:ascii="Avenir Next LT Pro" w:hAnsi="Avenir Next LT Pro"/>
          <w:sz w:val="24"/>
          <w:szCs w:val="24"/>
        </w:rPr>
        <w:t>Send a task to Mayuri Baichan</w:t>
      </w:r>
    </w:p>
    <w:p w14:paraId="2C83824A" w14:textId="233C16B8" w:rsidR="00573370" w:rsidRPr="001F6948" w:rsidRDefault="001F6948" w:rsidP="001F6948">
      <w:pPr>
        <w:ind w:left="-491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I will be starting off with an HbA1c &gt;75 and once I get through this group, the referral criteria can be adjusted to include &gt;58. </w:t>
      </w:r>
    </w:p>
    <w:p w14:paraId="219BA678" w14:textId="415CEDC5" w:rsidR="008063B1" w:rsidRPr="00B03F8C" w:rsidRDefault="001F6948" w:rsidP="001F6948">
      <w:pPr>
        <w:ind w:left="-426" w:hanging="282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    </w:t>
      </w:r>
      <w:r w:rsidR="008063B1">
        <w:rPr>
          <w:rFonts w:ascii="Avenir Next LT Pro" w:hAnsi="Avenir Next LT Pro"/>
          <w:sz w:val="24"/>
          <w:szCs w:val="24"/>
        </w:rPr>
        <w:t xml:space="preserve">Kindly note: </w:t>
      </w:r>
      <w:r w:rsidR="008063B1" w:rsidRPr="008063B1">
        <w:rPr>
          <w:rFonts w:ascii="Avenir Next LT Pro" w:hAnsi="Avenir Next LT Pro"/>
          <w:sz w:val="24"/>
          <w:szCs w:val="24"/>
        </w:rPr>
        <w:t>Referrals wh</w:t>
      </w:r>
      <w:r w:rsidR="002E2ABD">
        <w:rPr>
          <w:rFonts w:ascii="Avenir Next LT Pro" w:hAnsi="Avenir Next LT Pro"/>
          <w:sz w:val="24"/>
          <w:szCs w:val="24"/>
        </w:rPr>
        <w:t>ich</w:t>
      </w:r>
      <w:r w:rsidR="008063B1" w:rsidRPr="008063B1">
        <w:rPr>
          <w:rFonts w:ascii="Avenir Next LT Pro" w:hAnsi="Avenir Next LT Pro"/>
          <w:sz w:val="24"/>
          <w:szCs w:val="24"/>
        </w:rPr>
        <w:t xml:space="preserve"> fall out of my scope of practice or are in the exclusion</w:t>
      </w:r>
      <w:r>
        <w:rPr>
          <w:rFonts w:ascii="Avenir Next LT Pro" w:hAnsi="Avenir Next LT Pro"/>
          <w:sz w:val="24"/>
          <w:szCs w:val="24"/>
        </w:rPr>
        <w:t xml:space="preserve"> </w:t>
      </w:r>
      <w:r w:rsidR="008063B1" w:rsidRPr="008063B1">
        <w:rPr>
          <w:rFonts w:ascii="Avenir Next LT Pro" w:hAnsi="Avenir Next LT Pro"/>
          <w:sz w:val="24"/>
          <w:szCs w:val="24"/>
        </w:rPr>
        <w:t>criteria will be</w:t>
      </w:r>
      <w:r w:rsidR="008063B1">
        <w:rPr>
          <w:rFonts w:ascii="Avenir Next LT Pro" w:hAnsi="Avenir Next LT Pro"/>
          <w:sz w:val="24"/>
          <w:szCs w:val="24"/>
        </w:rPr>
        <w:t xml:space="preserve"> </w:t>
      </w:r>
      <w:r w:rsidR="008063B1" w:rsidRPr="008063B1">
        <w:rPr>
          <w:rFonts w:ascii="Avenir Next LT Pro" w:hAnsi="Avenir Next LT Pro"/>
          <w:sz w:val="24"/>
          <w:szCs w:val="24"/>
        </w:rPr>
        <w:t xml:space="preserve">triaged and signposted to the relevant departments. </w:t>
      </w:r>
    </w:p>
    <w:sectPr w:rsidR="008063B1" w:rsidRPr="00B03F8C" w:rsidSect="00F97CE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D96"/>
    <w:multiLevelType w:val="hybridMultilevel"/>
    <w:tmpl w:val="CECC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15470"/>
    <w:multiLevelType w:val="hybridMultilevel"/>
    <w:tmpl w:val="9668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F6156"/>
    <w:multiLevelType w:val="hybridMultilevel"/>
    <w:tmpl w:val="22BCDA0A"/>
    <w:lvl w:ilvl="0" w:tplc="3BE071CC">
      <w:start w:val="1"/>
      <w:numFmt w:val="decimal"/>
      <w:lvlText w:val="%1."/>
      <w:lvlJc w:val="left"/>
      <w:pPr>
        <w:ind w:left="-491" w:hanging="360"/>
      </w:pPr>
      <w:rPr>
        <w:rFonts w:ascii="Avenir Next LT Pro" w:hAnsi="Avenir Next LT Pro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53440E03"/>
    <w:multiLevelType w:val="hybridMultilevel"/>
    <w:tmpl w:val="76A8938A"/>
    <w:lvl w:ilvl="0" w:tplc="08090003">
      <w:start w:val="1"/>
      <w:numFmt w:val="bullet"/>
      <w:lvlText w:val="o"/>
      <w:lvlJc w:val="left"/>
      <w:pPr>
        <w:ind w:left="-13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5E011A79"/>
    <w:multiLevelType w:val="hybridMultilevel"/>
    <w:tmpl w:val="D0E8D0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34F5F"/>
    <w:multiLevelType w:val="hybridMultilevel"/>
    <w:tmpl w:val="C39A74D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C322A"/>
    <w:multiLevelType w:val="hybridMultilevel"/>
    <w:tmpl w:val="F0E6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869">
    <w:abstractNumId w:val="1"/>
  </w:num>
  <w:num w:numId="2" w16cid:durableId="1512791012">
    <w:abstractNumId w:val="6"/>
  </w:num>
  <w:num w:numId="3" w16cid:durableId="1729765478">
    <w:abstractNumId w:val="0"/>
  </w:num>
  <w:num w:numId="4" w16cid:durableId="796069156">
    <w:abstractNumId w:val="4"/>
  </w:num>
  <w:num w:numId="5" w16cid:durableId="1393885776">
    <w:abstractNumId w:val="5"/>
  </w:num>
  <w:num w:numId="6" w16cid:durableId="2095085790">
    <w:abstractNumId w:val="2"/>
  </w:num>
  <w:num w:numId="7" w16cid:durableId="746079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2F"/>
    <w:rsid w:val="00010EEA"/>
    <w:rsid w:val="001F12CC"/>
    <w:rsid w:val="001F6948"/>
    <w:rsid w:val="002E2ABD"/>
    <w:rsid w:val="00365378"/>
    <w:rsid w:val="004A0616"/>
    <w:rsid w:val="0051799F"/>
    <w:rsid w:val="00573370"/>
    <w:rsid w:val="005D17F1"/>
    <w:rsid w:val="007104D7"/>
    <w:rsid w:val="00772A2F"/>
    <w:rsid w:val="008063B1"/>
    <w:rsid w:val="00AA2E0F"/>
    <w:rsid w:val="00B03F8C"/>
    <w:rsid w:val="00F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5CD3"/>
  <w15:chartTrackingRefBased/>
  <w15:docId w15:val="{056E9636-7B90-4015-9FED-2CD3C028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A2F"/>
    <w:pPr>
      <w:ind w:left="720"/>
      <w:contextualSpacing/>
    </w:pPr>
  </w:style>
  <w:style w:type="table" w:styleId="TableGrid">
    <w:name w:val="Table Grid"/>
    <w:basedOn w:val="TableNormal"/>
    <w:uiPriority w:val="39"/>
    <w:rsid w:val="004A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BAICHAN, Mayuri (THE CEDARS SURGERY - K81036)</dc:creator>
  <cp:keywords/>
  <dc:description/>
  <cp:lastModifiedBy>BAICHAN, Mayuri (THE CEDARS SURGERY - K81036)</cp:lastModifiedBy>
  <cp:revision>8</cp:revision>
  <dcterms:created xsi:type="dcterms:W3CDTF">2023-06-29T10:56:00Z</dcterms:created>
  <dcterms:modified xsi:type="dcterms:W3CDTF">2023-07-12T12:48:00Z</dcterms:modified>
</cp:coreProperties>
</file>